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Malibu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1G1ZJ57B484298509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228,319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